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7CD84A7B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7F5A24">
        <w:rPr>
          <w:rFonts w:ascii="Arial" w:hAnsi="Arial" w:cs="Arial"/>
          <w:b/>
          <w:color w:val="auto"/>
          <w:sz w:val="20"/>
          <w:szCs w:val="20"/>
        </w:rPr>
        <w:t>I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</w:t>
      </w:r>
      <w:r w:rsidR="00FA00B3">
        <w:rPr>
          <w:rFonts w:ascii="Arial" w:hAnsi="Arial" w:cs="Arial"/>
          <w:b/>
          <w:color w:val="auto"/>
          <w:sz w:val="20"/>
          <w:szCs w:val="20"/>
        </w:rPr>
        <w:t>3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F102042" w:rsidR="00CA516B" w:rsidRPr="002B14F4" w:rsidRDefault="002C3564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3E5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.2020 r. – 31.</w:t>
            </w:r>
            <w:r w:rsidR="004D7AA4">
              <w:rPr>
                <w:rFonts w:ascii="Arial" w:hAnsi="Arial" w:cs="Arial"/>
                <w:sz w:val="20"/>
                <w:szCs w:val="20"/>
              </w:rPr>
              <w:t>0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0D9CC2" w14:textId="77777777" w:rsidR="00AB4F91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10F54F" w14:textId="290E79F9" w:rsidR="00AB4F91" w:rsidRPr="007873DD" w:rsidRDefault="0074328C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Kluczowa dla realizacji niniejszego projektu zmiana ustawowa - nowelizacja ustawy termomodernizacyjnej i remontów.</w:t>
      </w:r>
      <w:r w:rsidR="00AB4F91" w:rsidRPr="007873DD">
        <w:rPr>
          <w:rFonts w:ascii="Arial" w:hAnsi="Arial" w:cs="Arial"/>
          <w:sz w:val="20"/>
          <w:szCs w:val="20"/>
        </w:rPr>
        <w:t xml:space="preserve"> Ustawa</w:t>
      </w:r>
      <w:r w:rsidR="00DB7EA0" w:rsidRPr="007873DD">
        <w:rPr>
          <w:rFonts w:ascii="Arial" w:hAnsi="Arial" w:cs="Arial"/>
          <w:sz w:val="20"/>
          <w:szCs w:val="20"/>
        </w:rPr>
        <w:t xml:space="preserve"> z dnia 28 października 2020 r. o zmianie ustawy o wspieraniu termomodernizacji i remontów oraz niektórych innych ustaw (Dz. U. z 2020 r. poz. 2127)</w:t>
      </w:r>
      <w:r w:rsidRPr="007873DD">
        <w:rPr>
          <w:rFonts w:ascii="Arial" w:hAnsi="Arial" w:cs="Arial"/>
          <w:sz w:val="20"/>
          <w:szCs w:val="20"/>
        </w:rPr>
        <w:t xml:space="preserve"> weszła w życie </w:t>
      </w:r>
      <w:r w:rsidR="00AB4F91" w:rsidRPr="007873DD">
        <w:rPr>
          <w:rFonts w:ascii="Arial" w:hAnsi="Arial" w:cs="Arial"/>
          <w:sz w:val="20"/>
          <w:szCs w:val="20"/>
        </w:rPr>
        <w:br/>
      </w:r>
      <w:r w:rsidRPr="007873DD">
        <w:rPr>
          <w:rFonts w:ascii="Arial" w:hAnsi="Arial" w:cs="Arial"/>
          <w:sz w:val="20"/>
          <w:szCs w:val="20"/>
        </w:rPr>
        <w:t>w dniu 01.01.2021 r.</w:t>
      </w:r>
    </w:p>
    <w:p w14:paraId="24C614DC" w14:textId="2D461964" w:rsidR="00AB4F91" w:rsidRPr="007873DD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Ustawa obejmuje utworzenie CEEB, w której będą gromadzone:</w:t>
      </w:r>
    </w:p>
    <w:p w14:paraId="65BB5440" w14:textId="2EA81A35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1) dane i informacje o budynkach i lokalach</w:t>
      </w:r>
      <w:r w:rsidR="00FA00B3">
        <w:rPr>
          <w:rFonts w:ascii="Arial" w:hAnsi="Arial" w:cs="Arial"/>
          <w:sz w:val="20"/>
          <w:szCs w:val="20"/>
        </w:rPr>
        <w:t>,</w:t>
      </w:r>
      <w:r w:rsidRPr="007873DD">
        <w:rPr>
          <w:rFonts w:ascii="Arial" w:hAnsi="Arial" w:cs="Arial"/>
          <w:sz w:val="20"/>
          <w:szCs w:val="20"/>
        </w:rPr>
        <w:t xml:space="preserve"> </w:t>
      </w:r>
    </w:p>
    <w:p w14:paraId="23798031" w14:textId="77777777" w:rsid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2) dane osób uprawnionych do wprowadzania danych i informacji do CEEB, zamieszczane w tzw. „wykazie osób uprawnionych”;</w:t>
      </w:r>
    </w:p>
    <w:p w14:paraId="22FBE3AA" w14:textId="44A906DF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3) dane właścicieli lub zarządców budynków lub lokali, w tym: imię i nazwisko albo nazwę właściciela lub zarządcy oraz adres jego miejsca zamieszkania lub siedziby; adres nieruchomości, w obrębie której eksploatowane jest źródło ciepła lub źródło spalania paliw, numer telefonu; adres poczty elektronicznej.</w:t>
      </w:r>
    </w:p>
    <w:p w14:paraId="59F7DA39" w14:textId="0770A2F3" w:rsidR="004C1D48" w:rsidRPr="00AB4F91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1C77F864" w:rsidR="00907F6D" w:rsidRPr="006A5EB6" w:rsidRDefault="00905C79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94,44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7A481630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F58E9">
              <w:rPr>
                <w:rFonts w:ascii="Arial" w:hAnsi="Arial" w:cs="Arial"/>
                <w:sz w:val="20"/>
                <w:szCs w:val="20"/>
              </w:rPr>
              <w:t>14,11</w:t>
            </w:r>
            <w:r w:rsidR="00ED4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041AF79B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01893">
              <w:rPr>
                <w:rFonts w:ascii="Arial" w:hAnsi="Arial" w:cs="Arial"/>
                <w:sz w:val="20"/>
                <w:szCs w:val="20"/>
              </w:rPr>
              <w:t>38,43</w:t>
            </w:r>
            <w:r w:rsidR="001B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7376C272" w:rsidR="00907F6D" w:rsidRPr="002B14F4" w:rsidRDefault="00955046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</w:t>
            </w:r>
            <w:r w:rsidR="006D0FBE">
              <w:rPr>
                <w:rFonts w:ascii="Arial" w:hAnsi="Arial" w:cs="Arial"/>
                <w:sz w:val="20"/>
                <w:szCs w:val="20"/>
              </w:rPr>
              <w:t>90</w:t>
            </w:r>
            <w:r w:rsidR="00850DD1" w:rsidRPr="00AB2459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6"/>
        <w:gridCol w:w="1111"/>
        <w:gridCol w:w="1367"/>
        <w:gridCol w:w="953"/>
        <w:gridCol w:w="4222"/>
      </w:tblGrid>
      <w:tr w:rsidR="004350B8" w:rsidRPr="002B14F4" w14:paraId="55961592" w14:textId="77777777" w:rsidTr="00673C1A">
        <w:trPr>
          <w:tblHeader/>
        </w:trPr>
        <w:tc>
          <w:tcPr>
            <w:tcW w:w="1986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367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53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4222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673C1A">
        <w:tc>
          <w:tcPr>
            <w:tcW w:w="1986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111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53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222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673C1A">
        <w:tc>
          <w:tcPr>
            <w:tcW w:w="1986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111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53" w:type="dxa"/>
          </w:tcPr>
          <w:p w14:paraId="465B39CB" w14:textId="48B8E616" w:rsidR="00A0479E" w:rsidRPr="002B14F4" w:rsidRDefault="00814E22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07379">
              <w:rPr>
                <w:rFonts w:ascii="Arial" w:hAnsi="Arial" w:cs="Arial"/>
                <w:sz w:val="20"/>
                <w:szCs w:val="20"/>
                <w:lang w:eastAsia="pl-PL"/>
              </w:rPr>
              <w:t>2-202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22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1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274FF4D6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podpisana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673C1A">
        <w:tc>
          <w:tcPr>
            <w:tcW w:w="1986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53" w:type="dxa"/>
          </w:tcPr>
          <w:p w14:paraId="1E674CA6" w14:textId="0C71052F" w:rsidR="00A0479E" w:rsidRPr="002B14F4" w:rsidRDefault="00E17F75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4222" w:type="dxa"/>
          </w:tcPr>
          <w:p w14:paraId="3F45AB33" w14:textId="3FAC6B6F" w:rsidR="005754F6" w:rsidRDefault="0026655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30D86" w14:textId="51D57206" w:rsidR="00E17F75" w:rsidRDefault="008A3936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2665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zosta</w:t>
            </w:r>
            <w:r w:rsidR="0026655E">
              <w:rPr>
                <w:rFonts w:ascii="Arial" w:hAnsi="Arial" w:cs="Arial"/>
                <w:sz w:val="20"/>
                <w:szCs w:val="20"/>
              </w:rPr>
              <w:t>ł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55E">
              <w:rPr>
                <w:rFonts w:ascii="Arial" w:hAnsi="Arial" w:cs="Arial"/>
                <w:sz w:val="20"/>
                <w:szCs w:val="20"/>
              </w:rPr>
              <w:t>w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26655E">
              <w:rPr>
                <w:rFonts w:ascii="Arial" w:hAnsi="Arial" w:cs="Arial"/>
                <w:sz w:val="20"/>
                <w:szCs w:val="20"/>
              </w:rPr>
              <w:t>u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17F75">
              <w:rPr>
                <w:rFonts w:ascii="Arial" w:hAnsi="Arial" w:cs="Arial"/>
                <w:sz w:val="20"/>
                <w:szCs w:val="20"/>
              </w:rPr>
              <w:t>4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7C2482">
              <w:rPr>
                <w:rFonts w:ascii="Arial" w:hAnsi="Arial" w:cs="Arial"/>
                <w:sz w:val="20"/>
                <w:szCs w:val="20"/>
              </w:rPr>
              <w:t>kwietnia 2022 r.</w:t>
            </w:r>
            <w:r w:rsidR="00E17F75">
              <w:rPr>
                <w:rFonts w:ascii="Arial" w:hAnsi="Arial" w:cs="Arial"/>
                <w:sz w:val="20"/>
                <w:szCs w:val="20"/>
              </w:rPr>
              <w:t>, zgodnie z podpisanym w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E17F75">
              <w:rPr>
                <w:rFonts w:ascii="Arial" w:hAnsi="Arial" w:cs="Arial"/>
                <w:sz w:val="20"/>
                <w:szCs w:val="20"/>
              </w:rPr>
              <w:t>tym dniu protokołem zdawczo-odbiorczym odbioru analizy przedwdro</w:t>
            </w:r>
            <w:r w:rsidR="00FA00B3">
              <w:rPr>
                <w:rFonts w:ascii="Arial" w:hAnsi="Arial" w:cs="Arial"/>
                <w:sz w:val="20"/>
                <w:szCs w:val="20"/>
              </w:rPr>
              <w:t>ż</w:t>
            </w:r>
            <w:r w:rsidR="00E17F75">
              <w:rPr>
                <w:rFonts w:ascii="Arial" w:hAnsi="Arial" w:cs="Arial"/>
                <w:sz w:val="20"/>
                <w:szCs w:val="20"/>
              </w:rPr>
              <w:t>eniowej systemu ZONE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F75">
              <w:rPr>
                <w:rFonts w:ascii="Arial" w:hAnsi="Arial" w:cs="Arial"/>
                <w:sz w:val="20"/>
                <w:szCs w:val="20"/>
              </w:rPr>
              <w:br/>
            </w:r>
            <w:r w:rsidR="007C2482">
              <w:rPr>
                <w:rFonts w:ascii="Arial" w:hAnsi="Arial" w:cs="Arial"/>
                <w:sz w:val="20"/>
                <w:szCs w:val="20"/>
              </w:rPr>
              <w:t>(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BF44C06" w14:textId="0047D2D7" w:rsidR="00A0479E" w:rsidRPr="002B14F4" w:rsidRDefault="00A0479E" w:rsidP="008A3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1E32BBBB" w14:textId="77777777" w:rsidTr="00673C1A">
        <w:tc>
          <w:tcPr>
            <w:tcW w:w="1986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111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600C5CFB" w14:textId="6FC481EC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673C1A">
              <w:rPr>
                <w:rFonts w:ascii="Arial" w:hAnsi="Arial" w:cs="Arial"/>
                <w:sz w:val="20"/>
                <w:szCs w:val="20"/>
              </w:rPr>
              <w:t xml:space="preserve">6- </w:t>
            </w:r>
            <w:r w:rsidRPr="002B14F4">
              <w:rPr>
                <w:rFonts w:ascii="Arial" w:hAnsi="Arial" w:cs="Arial"/>
                <w:sz w:val="20"/>
                <w:szCs w:val="20"/>
              </w:rPr>
              <w:t>202</w:t>
            </w:r>
            <w:r w:rsidR="00673C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5557E917" w14:textId="4FF92E98" w:rsidR="00A0479E" w:rsidRPr="002B14F4" w:rsidRDefault="007B5194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56966813" w14:textId="77777777" w:rsidR="007F5A24" w:rsidRDefault="007F5A24" w:rsidP="007F5A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0241BF5D" w14:textId="77777777" w:rsidR="00673C1A" w:rsidRDefault="00673C1A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960461" w14:textId="46EC00E5" w:rsidR="00E17F75" w:rsidRPr="002B14F4" w:rsidRDefault="00E17F75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3D21711D" w14:textId="77777777" w:rsidTr="00673C1A">
        <w:tc>
          <w:tcPr>
            <w:tcW w:w="1986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67" w:type="dxa"/>
          </w:tcPr>
          <w:p w14:paraId="158BE058" w14:textId="191DD450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2B14F4">
              <w:rPr>
                <w:rFonts w:ascii="Arial" w:eastAsia="Calibri" w:hAnsi="Arial" w:cs="Arial"/>
                <w:sz w:val="20"/>
                <w:szCs w:val="20"/>
              </w:rPr>
              <w:t>-202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322A5DAC" w14:textId="5F14E87E" w:rsidR="00A0479E" w:rsidRPr="002B14F4" w:rsidRDefault="007B5194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664BAB7C" w14:textId="6D468DFE" w:rsidR="00FC175E" w:rsidRPr="00FC175E" w:rsidRDefault="007F5A24" w:rsidP="00FC175E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Osiągnięty.</w:t>
            </w:r>
          </w:p>
          <w:p w14:paraId="1E5850D3" w14:textId="5200C827" w:rsidR="00FC175E" w:rsidRPr="002B14F4" w:rsidRDefault="00FC175E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28B481BC" w14:textId="77777777" w:rsidTr="00673C1A">
        <w:tc>
          <w:tcPr>
            <w:tcW w:w="1986" w:type="dxa"/>
          </w:tcPr>
          <w:p w14:paraId="2D334079" w14:textId="7C7F8DA2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6FD43CB" w14:textId="5DBBE2D2" w:rsidR="00A0479E" w:rsidRPr="002B14F4" w:rsidRDefault="00A0479E" w:rsidP="00B21B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7D1EAFEA" w14:textId="3E7DEF88" w:rsidR="00A0479E" w:rsidRPr="002B14F4" w:rsidRDefault="007963A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1158F471" w14:textId="54FF9D9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FC175E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953" w:type="dxa"/>
          </w:tcPr>
          <w:p w14:paraId="1CA64ED9" w14:textId="6580F6E7" w:rsidR="00A0479E" w:rsidRPr="002B14F4" w:rsidRDefault="007B5194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500AFA7F" w14:textId="50918FFC" w:rsidR="00735FB6" w:rsidRPr="00FC175E" w:rsidRDefault="007F5A24" w:rsidP="00735FB6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332B8C5C" w14:textId="7FFEA602" w:rsidR="00FC175E" w:rsidRPr="002B14F4" w:rsidRDefault="00FC175E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B86" w:rsidRPr="002B14F4" w14:paraId="2EB693EA" w14:textId="77777777" w:rsidTr="00673C1A">
        <w:tc>
          <w:tcPr>
            <w:tcW w:w="1986" w:type="dxa"/>
          </w:tcPr>
          <w:p w14:paraId="045ED9A1" w14:textId="77777777" w:rsidR="00B21B86" w:rsidRPr="002B14F4" w:rsidRDefault="00B21B86" w:rsidP="00B21B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</w:p>
          <w:p w14:paraId="6323383C" w14:textId="77777777" w:rsidR="00B21B86" w:rsidRPr="002B14F4" w:rsidRDefault="00B21B86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D24E32F" w14:textId="77777777" w:rsidR="003E02C1" w:rsidRPr="002B14F4" w:rsidRDefault="003E02C1" w:rsidP="003E02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– 16.700 szt.</w:t>
            </w:r>
          </w:p>
          <w:p w14:paraId="59314224" w14:textId="77777777" w:rsidR="00B21B86" w:rsidRDefault="00B21B86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51C351F1" w14:textId="10AE516A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C175E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2022</w:t>
            </w:r>
            <w:r w:rsidR="007F5A24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53" w:type="dxa"/>
          </w:tcPr>
          <w:p w14:paraId="4D2B75D9" w14:textId="77777777" w:rsidR="00B21B86" w:rsidRPr="002B14F4" w:rsidRDefault="00B21B8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44D1C1B6" w14:textId="1226A954" w:rsidR="00B21B86" w:rsidRDefault="00C81735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3E013996" w14:textId="7B91D8D1" w:rsidR="00735FB6" w:rsidRPr="00FC175E" w:rsidRDefault="00735FB6" w:rsidP="00735FB6">
            <w:pPr>
              <w:pStyle w:val="Tekstkomentarza"/>
              <w:jc w:val="both"/>
              <w:rPr>
                <w:rFonts w:ascii="Arial" w:hAnsi="Arial" w:cs="Arial"/>
              </w:rPr>
            </w:pPr>
            <w:r w:rsidRPr="00FC175E">
              <w:rPr>
                <w:rFonts w:ascii="Arial" w:hAnsi="Arial" w:cs="Arial"/>
              </w:rPr>
              <w:t xml:space="preserve">Data 08/2022 zdezaktualizowała się na skutek daty zawarcia umowy z Wykonawcą </w:t>
            </w:r>
            <w:proofErr w:type="spellStart"/>
            <w:r w:rsidRPr="00FC175E">
              <w:rPr>
                <w:rFonts w:ascii="Arial" w:hAnsi="Arial" w:cs="Arial"/>
              </w:rPr>
              <w:t>SnT</w:t>
            </w:r>
            <w:proofErr w:type="spellEnd"/>
            <w:r w:rsidRPr="00FC175E">
              <w:rPr>
                <w:rFonts w:ascii="Arial" w:hAnsi="Arial" w:cs="Arial"/>
              </w:rPr>
              <w:t xml:space="preserve">. W umowie z Wykonawcą dla etapu związanego z wdrożeniem komponentów w wersji testowej było zaplanowane w ramach etapu II, którego termin był uzależniony od terminu podpisania umowy: „12 miesięcy od daty podpisania umowy”. </w:t>
            </w:r>
          </w:p>
          <w:p w14:paraId="1754E3DF" w14:textId="5818A729" w:rsidR="00735FB6" w:rsidRPr="002B14F4" w:rsidRDefault="00735FB6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2C55AAE3" w14:textId="77777777" w:rsidTr="00673C1A">
        <w:tc>
          <w:tcPr>
            <w:tcW w:w="1986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111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1A2F669A" w14:textId="0A76056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8E6A9A">
              <w:rPr>
                <w:rFonts w:ascii="Arial" w:hAnsi="Arial" w:cs="Arial"/>
                <w:sz w:val="20"/>
                <w:szCs w:val="20"/>
              </w:rPr>
              <w:t>1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  <w:r w:rsidR="007F5A24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53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  <w:vAlign w:val="center"/>
          </w:tcPr>
          <w:p w14:paraId="3CD289AE" w14:textId="24F643DD" w:rsidR="00C81735" w:rsidRDefault="00C81735" w:rsidP="00C52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71A399F1" w14:textId="79152A4F" w:rsidR="00A0479E" w:rsidRPr="002B14F4" w:rsidRDefault="00C523E3" w:rsidP="00C52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 uwagi na fakt, iż nie zostały osiągnięte ww. Kamienie Milowe  nr 4 oraz 5</w:t>
            </w:r>
            <w:r w:rsidR="00D60D0A">
              <w:rPr>
                <w:rFonts w:ascii="Arial" w:hAnsi="Arial" w:cs="Arial"/>
                <w:sz w:val="20"/>
                <w:szCs w:val="20"/>
              </w:rPr>
              <w:t xml:space="preserve">,6 w zakładanym pierwotnie </w:t>
            </w:r>
            <w:proofErr w:type="spellStart"/>
            <w:r w:rsidR="00D60D0A">
              <w:rPr>
                <w:rFonts w:ascii="Arial" w:hAnsi="Arial" w:cs="Arial"/>
                <w:sz w:val="20"/>
                <w:szCs w:val="20"/>
              </w:rPr>
              <w:t>WoD</w:t>
            </w:r>
            <w:proofErr w:type="spellEnd"/>
            <w:r w:rsidR="00D60D0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nie nastąpiła </w:t>
            </w:r>
            <w:r w:rsidR="00D60D0A">
              <w:rPr>
                <w:rFonts w:ascii="Arial" w:hAnsi="Arial" w:cs="Arial"/>
                <w:sz w:val="20"/>
                <w:szCs w:val="20"/>
              </w:rPr>
              <w:t xml:space="preserve">terminowa </w:t>
            </w:r>
            <w:r>
              <w:rPr>
                <w:rFonts w:ascii="Arial" w:hAnsi="Arial" w:cs="Arial"/>
                <w:sz w:val="20"/>
                <w:szCs w:val="20"/>
              </w:rPr>
              <w:t>realizacja KM nr 8. Nie ma to wpływu na terminową realizację projektu. Beneficjent monitoruje zakres prac. Brak realizacji KM nie zagraża terminowej realizacji projektu.</w:t>
            </w:r>
          </w:p>
        </w:tc>
      </w:tr>
      <w:tr w:rsidR="00A0479E" w:rsidRPr="002B14F4" w14:paraId="72A1883A" w14:textId="77777777" w:rsidTr="00673C1A">
        <w:tc>
          <w:tcPr>
            <w:tcW w:w="1986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6C7CEFAA" w14:textId="6CB94B1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C54EA8">
              <w:rPr>
                <w:rFonts w:ascii="Arial" w:hAnsi="Arial" w:cs="Arial"/>
                <w:sz w:val="20"/>
                <w:szCs w:val="20"/>
              </w:rPr>
              <w:t>4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  <w:r w:rsidR="007F5A24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53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  <w:vAlign w:val="center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673C1A">
        <w:tc>
          <w:tcPr>
            <w:tcW w:w="1986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67" w:type="dxa"/>
          </w:tcPr>
          <w:p w14:paraId="4E79F763" w14:textId="1B822D3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DE40A9">
              <w:rPr>
                <w:rFonts w:ascii="Arial" w:hAnsi="Arial" w:cs="Arial"/>
                <w:sz w:val="20"/>
                <w:szCs w:val="20"/>
              </w:rPr>
              <w:t>6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  <w:r w:rsidR="007F5A24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53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673C1A">
        <w:tc>
          <w:tcPr>
            <w:tcW w:w="1986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111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367" w:type="dxa"/>
          </w:tcPr>
          <w:p w14:paraId="7892FE4F" w14:textId="1696483C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DE40A9">
              <w:rPr>
                <w:rFonts w:ascii="Arial" w:hAnsi="Arial" w:cs="Arial"/>
                <w:sz w:val="20"/>
                <w:szCs w:val="20"/>
              </w:rPr>
              <w:t>6-</w:t>
            </w:r>
            <w:r w:rsidRPr="002B14F4">
              <w:rPr>
                <w:rFonts w:ascii="Arial" w:hAnsi="Arial" w:cs="Arial"/>
                <w:sz w:val="20"/>
                <w:szCs w:val="20"/>
              </w:rPr>
              <w:t>2023</w:t>
            </w:r>
            <w:r w:rsidR="00C81735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52C97B68" w14:textId="6EC94682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568DD6AD" w14:textId="5F250F11" w:rsidR="00673C1A" w:rsidRDefault="00C81735" w:rsidP="00C81735">
      <w:pPr>
        <w:spacing w:before="24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*Beneficjent zwrócił się do IP/CPPC pismem o wydłużenie okresu realizacji projektu oraz o aktualizację dat kamieni milowych.</w:t>
      </w:r>
    </w:p>
    <w:p w14:paraId="79A11F98" w14:textId="77915F1F" w:rsidR="00C81735" w:rsidRDefault="00C81735" w:rsidP="00C81735">
      <w:pPr>
        <w:spacing w:before="24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Zgoda została wyrażona w trakcie procedowania jest przedmiotowy aneks. W kolejnym okresie sprawozdawczym po podpisaniu Aneksu daty zostaną zaktualizowane.</w:t>
      </w:r>
    </w:p>
    <w:p w14:paraId="597C39A7" w14:textId="77777777" w:rsidR="00C81735" w:rsidRPr="00C81735" w:rsidRDefault="00C81735" w:rsidP="00C81735">
      <w:pPr>
        <w:spacing w:before="240" w:after="120"/>
        <w:rPr>
          <w:rFonts w:ascii="Arial" w:hAnsi="Arial" w:cs="Arial"/>
          <w:sz w:val="20"/>
          <w:szCs w:val="20"/>
        </w:rPr>
      </w:pPr>
    </w:p>
    <w:p w14:paraId="64ADCCB0" w14:textId="2FEDF2F1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6E536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6E536F">
        <w:tc>
          <w:tcPr>
            <w:tcW w:w="2545" w:type="dxa"/>
            <w:vAlign w:val="center"/>
          </w:tcPr>
          <w:p w14:paraId="638B83DF" w14:textId="1BB96950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1. Liczba usług publicznych udostępnionych </w:t>
            </w:r>
            <w:r w:rsidR="006E536F">
              <w:rPr>
                <w:rFonts w:cs="Arial"/>
                <w:sz w:val="20"/>
                <w:szCs w:val="20"/>
                <w:lang w:val="pl-PL"/>
              </w:rPr>
              <w:br/>
            </w:r>
            <w:r w:rsidRPr="002B14F4">
              <w:rPr>
                <w:rFonts w:cs="Arial"/>
                <w:sz w:val="20"/>
                <w:szCs w:val="20"/>
                <w:lang w:val="pl-PL"/>
              </w:rPr>
              <w:t>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  <w:vAlign w:val="center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0BD2F965" w14:textId="3721054E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</w:t>
            </w:r>
            <w:r w:rsidR="00B9574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6E536F">
        <w:tc>
          <w:tcPr>
            <w:tcW w:w="2545" w:type="dxa"/>
            <w:vAlign w:val="center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6E536F">
        <w:tc>
          <w:tcPr>
            <w:tcW w:w="2545" w:type="dxa"/>
            <w:vAlign w:val="center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215A1F9" w14:textId="62C20B5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6E536F">
        <w:tc>
          <w:tcPr>
            <w:tcW w:w="2545" w:type="dxa"/>
            <w:vAlign w:val="center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  <w:vAlign w:val="center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6D3E667" w14:textId="673C4F5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6E536F">
        <w:tc>
          <w:tcPr>
            <w:tcW w:w="2545" w:type="dxa"/>
            <w:vAlign w:val="center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ergonomiczności, czasu i kosztu załatwienia sprawy za pomocą uruchomionych e-usług</w:t>
            </w:r>
          </w:p>
        </w:tc>
        <w:tc>
          <w:tcPr>
            <w:tcW w:w="1701" w:type="dxa"/>
            <w:vAlign w:val="center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6E536F">
        <w:tc>
          <w:tcPr>
            <w:tcW w:w="2545" w:type="dxa"/>
            <w:vAlign w:val="center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  <w:vAlign w:val="center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  <w:vAlign w:val="center"/>
          </w:tcPr>
          <w:p w14:paraId="73168387" w14:textId="2276FFAB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A24C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6E536F">
        <w:tc>
          <w:tcPr>
            <w:tcW w:w="2545" w:type="dxa"/>
            <w:vAlign w:val="center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  <w:vAlign w:val="center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6E536F">
        <w:tc>
          <w:tcPr>
            <w:tcW w:w="2545" w:type="dxa"/>
            <w:vAlign w:val="center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  <w:vAlign w:val="center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D22DE86" w14:textId="62AE31D5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</w:t>
            </w:r>
            <w:r w:rsidR="00C07C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6E536F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6E536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6E536F">
        <w:trPr>
          <w:trHeight w:val="706"/>
        </w:trPr>
        <w:tc>
          <w:tcPr>
            <w:tcW w:w="2937" w:type="dxa"/>
          </w:tcPr>
          <w:p w14:paraId="321E6773" w14:textId="1B0F3668" w:rsidR="00E0668B" w:rsidRPr="002B14F4" w:rsidRDefault="00E0668B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>o nominalnej mocy cieplnej mniejszej niż 1MW, prowadzony w</w:t>
            </w:r>
            <w:r w:rsidR="006E536F">
              <w:rPr>
                <w:rFonts w:ascii="Arial" w:hAnsi="Arial" w:cs="Arial"/>
                <w:sz w:val="20"/>
                <w:szCs w:val="20"/>
              </w:rPr>
              <w:t> 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4017B800" w:rsidR="00121A2E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68FAAF5D" w14:textId="6ACA7746" w:rsidR="003252AB" w:rsidRDefault="003252AB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BDOT 10 k;</w:t>
            </w:r>
          </w:p>
          <w:p w14:paraId="08CC747E" w14:textId="08B71B97" w:rsidR="003252AB" w:rsidRDefault="003252AB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PRG;</w:t>
            </w:r>
          </w:p>
          <w:p w14:paraId="73AA2C18" w14:textId="10431114" w:rsidR="003252AB" w:rsidRDefault="003252AB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Centralny rejestr charakterystyki energetycznej budynków;</w:t>
            </w:r>
          </w:p>
          <w:p w14:paraId="2C67DB8E" w14:textId="6D93A44D" w:rsidR="003252AB" w:rsidRPr="00A646CD" w:rsidRDefault="003252AB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40093460"/>
            <w:r>
              <w:rPr>
                <w:rFonts w:ascii="Arial" w:hAnsi="Arial" w:cs="Arial"/>
                <w:sz w:val="20"/>
                <w:szCs w:val="20"/>
              </w:rPr>
              <w:t>EGIB</w:t>
            </w:r>
          </w:p>
          <w:bookmarkEnd w:id="2"/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6CBD4CBB" w:rsidR="00565FB8" w:rsidRDefault="00565FB8" w:rsidP="006E536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</w:t>
            </w:r>
            <w:r w:rsidR="006E536F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e-usług (produktów projektu). Zasilanie inicjalne i parametryzacja systemu.” (0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-202</w:t>
            </w:r>
            <w:r w:rsidR="006E536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6CFEBBEC" w:rsidR="00182D03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</w:t>
            </w:r>
            <w:r w:rsidR="005E31EE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</w:t>
            </w:r>
            <w:r w:rsidR="00B723E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35358CDB" w:rsidR="00182D03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535896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regulacji prawnych, które pozwolą na wdrożenie systemu ZONE w skali całego kraju, zbieranie i przetwarzanie danych zasilających ZONE, moduł raportowy w systemie ZONE, procedury zbierania i walidacji danych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 w:rsidR="00B723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8241CC" w14:textId="77777777" w:rsidR="00182D03" w:rsidRDefault="00B723E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Realizowane</w:t>
            </w:r>
            <w:r w:rsidR="00C42C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F237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B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planowanie jest połączenie systemu IT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 xml:space="preserve">do realizacji e-usług,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z Węzłem krajowym jako jednym z systemów,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  <w:p w14:paraId="14B58392" w14:textId="77777777" w:rsidR="003252AB" w:rsidRDefault="003252AB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D03298" w14:textId="01ACEA39" w:rsidR="003252AB" w:rsidRPr="00AC1EA7" w:rsidRDefault="003252AB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BDOT 10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52AB">
              <w:rPr>
                <w:rFonts w:ascii="Arial" w:hAnsi="Arial" w:cs="Arial"/>
                <w:sz w:val="20"/>
                <w:szCs w:val="20"/>
              </w:rPr>
              <w:t>przekazywane dane z rejestru bazy danych obiektów topograficznych o szczegółowości zapewniającej tworzenie standardowych opracowań kartograficznych w skali 1:10000 (BDOT10k</w:t>
            </w:r>
            <w:r w:rsidRPr="00AC1EA7">
              <w:rPr>
                <w:rFonts w:cstheme="minorHAnsi"/>
                <w:sz w:val="20"/>
                <w:szCs w:val="20"/>
              </w:rPr>
              <w:t>).</w:t>
            </w:r>
            <w:r w:rsidR="00AC1EA7" w:rsidRPr="00AC1EA7">
              <w:rPr>
                <w:rFonts w:cstheme="minorHAnsi"/>
                <w:sz w:val="20"/>
                <w:szCs w:val="20"/>
              </w:rPr>
              <w:t xml:space="preserve"> </w:t>
            </w:r>
            <w:r w:rsidR="00AC1EA7" w:rsidRPr="00AC1EA7">
              <w:rPr>
                <w:rFonts w:ascii="Arial" w:hAnsi="Arial" w:cs="Arial"/>
                <w:sz w:val="20"/>
                <w:szCs w:val="20"/>
              </w:rPr>
              <w:t>System IT będzie eksportował informacje o budynkach, których zmiana została zidentyfikowana podczas inwentaryzacji i przeglądów kominiarskich</w:t>
            </w:r>
          </w:p>
          <w:p w14:paraId="05A42302" w14:textId="77777777" w:rsidR="003252AB" w:rsidRDefault="003252AB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2307D66" w14:textId="385E8219" w:rsidR="003252AB" w:rsidRPr="00EA1AA0" w:rsidRDefault="003252AB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EA7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 </w:t>
            </w:r>
            <w:r w:rsidR="00AC1EA7" w:rsidRPr="00AC1EA7">
              <w:rPr>
                <w:rFonts w:ascii="Arial" w:hAnsi="Arial" w:cs="Arial"/>
                <w:sz w:val="20"/>
                <w:szCs w:val="20"/>
              </w:rPr>
              <w:t>PRG</w:t>
            </w:r>
            <w:r w:rsidR="00AC1EA7" w:rsidRPr="00AC1E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EA7">
              <w:rPr>
                <w:rFonts w:ascii="Arial" w:hAnsi="Arial" w:cs="Arial"/>
                <w:sz w:val="20"/>
                <w:szCs w:val="20"/>
              </w:rPr>
              <w:t xml:space="preserve">przekazywane dane z  </w:t>
            </w:r>
            <w:r w:rsidR="00AC1EA7" w:rsidRPr="00AC1EA7">
              <w:rPr>
                <w:rFonts w:ascii="Arial" w:hAnsi="Arial" w:cs="Arial"/>
                <w:sz w:val="20"/>
                <w:szCs w:val="20"/>
              </w:rPr>
              <w:t>państwowego rejestru granic i powierzchni jednostek podziałów terytorialnego kraju (PRG</w:t>
            </w:r>
            <w:r w:rsidR="00AC1EA7" w:rsidRPr="00211C2E">
              <w:t>),</w:t>
            </w:r>
            <w:r w:rsidR="00EA1AA0" w:rsidRPr="00211C2E">
              <w:t xml:space="preserve"> </w:t>
            </w:r>
            <w:r w:rsidR="00EA1AA0" w:rsidRPr="00EA1AA0">
              <w:rPr>
                <w:rFonts w:ascii="Arial" w:hAnsi="Arial" w:cs="Arial"/>
                <w:sz w:val="20"/>
                <w:szCs w:val="20"/>
              </w:rPr>
              <w:t>System IT będzie eksportował informacje o punktach adresowych, których zmiana została zidentyfikowana podczas inwentaryzacji i przeglądów kominiarskich</w:t>
            </w:r>
            <w:r w:rsidR="00EA1AA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A1AA0" w:rsidRPr="00EA1AA0">
              <w:rPr>
                <w:rFonts w:ascii="Arial" w:hAnsi="Arial" w:cs="Arial"/>
                <w:sz w:val="20"/>
                <w:szCs w:val="20"/>
              </w:rPr>
              <w:t>Z systemu PRG pozyskane będą granice, podziały terytorialne i punkty adresowe</w:t>
            </w:r>
            <w:r w:rsidR="00EA1A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9E1B16" w14:textId="77777777" w:rsidR="00AC1EA7" w:rsidRDefault="00AC1EA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7BC788" w14:textId="2362DA1C" w:rsidR="00AC1EA7" w:rsidRPr="00EA1AA0" w:rsidRDefault="00AC1EA7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EA7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 </w:t>
            </w:r>
            <w:r w:rsidRPr="00AC1EA7">
              <w:rPr>
                <w:rFonts w:ascii="Arial" w:hAnsi="Arial" w:cs="Arial"/>
                <w:sz w:val="20"/>
                <w:szCs w:val="20"/>
              </w:rPr>
              <w:t>Centralny rejestr charakterystyki energetycznej budynków</w:t>
            </w:r>
            <w:r w:rsidRPr="00AC1E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EA7">
              <w:rPr>
                <w:rFonts w:ascii="Arial" w:hAnsi="Arial" w:cs="Arial"/>
                <w:sz w:val="20"/>
                <w:szCs w:val="20"/>
              </w:rPr>
              <w:t>system będzie dostosowany do wymiany danych ze wszystkich innych rejestrów, z którymi będzie się integrował</w:t>
            </w:r>
            <w:r w:rsidRPr="00AC1E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EA7">
              <w:rPr>
                <w:rFonts w:ascii="Arial" w:hAnsi="Arial" w:cs="Arial"/>
                <w:sz w:val="20"/>
                <w:szCs w:val="20"/>
              </w:rPr>
              <w:t>centralnego rejestru charakterystyki energetycznej budynków (CRCEB)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EA1AA0" w:rsidRPr="00211C2E">
              <w:t xml:space="preserve"> </w:t>
            </w:r>
            <w:r w:rsidR="00EA1AA0" w:rsidRPr="00EA1AA0">
              <w:rPr>
                <w:rFonts w:ascii="Arial" w:hAnsi="Arial" w:cs="Arial"/>
                <w:sz w:val="20"/>
                <w:szCs w:val="20"/>
              </w:rPr>
              <w:t>Z CRCEB wczytywane będą informacje o dwóch grupach odbiorców, tj. dane o audytorach energetycznych i o osobach uprawnionych do sporządzania świadectw charakterystyki energetycznej budynków; oraz dane ze świadectw charakterystyki energetycznej budynków</w:t>
            </w:r>
          </w:p>
          <w:p w14:paraId="0C2B1013" w14:textId="6B146AC3" w:rsidR="00AC1EA7" w:rsidRDefault="00AC1EA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2381C7A" w14:textId="77777777" w:rsidR="00AC1EA7" w:rsidRPr="00A646CD" w:rsidRDefault="00AC1EA7" w:rsidP="00AC1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EGIB</w:t>
            </w:r>
          </w:p>
          <w:p w14:paraId="0950AE15" w14:textId="4D655CBB" w:rsidR="00AC1EA7" w:rsidRPr="00AC1EA7" w:rsidRDefault="00AC1EA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1EA7">
              <w:rPr>
                <w:rFonts w:ascii="Arial" w:hAnsi="Arial" w:cs="Arial"/>
                <w:sz w:val="20"/>
                <w:szCs w:val="20"/>
              </w:rPr>
              <w:t xml:space="preserve">System będzie dostosowany do wymiany </w:t>
            </w:r>
            <w:r w:rsidR="00EA1AA0" w:rsidRPr="00AC1EA7">
              <w:rPr>
                <w:rFonts w:ascii="Arial" w:hAnsi="Arial" w:cs="Arial"/>
                <w:sz w:val="20"/>
                <w:szCs w:val="20"/>
              </w:rPr>
              <w:t>danych</w:t>
            </w:r>
            <w:r w:rsidRPr="00AC1E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EA7">
              <w:rPr>
                <w:rFonts w:ascii="Arial" w:hAnsi="Arial" w:cs="Arial"/>
                <w:sz w:val="20"/>
                <w:szCs w:val="20"/>
              </w:rPr>
              <w:t xml:space="preserve">z centralnego rejestru osób posiadających uprawnienia budowlane oraz z centralnego rejestru ukaranych z tytułu odpowiedzialności zawodowej, Ewidencji </w:t>
            </w:r>
            <w:r w:rsidRPr="00EA1AA0">
              <w:rPr>
                <w:rFonts w:ascii="Arial" w:hAnsi="Arial" w:cs="Arial"/>
                <w:sz w:val="20"/>
                <w:szCs w:val="20"/>
              </w:rPr>
              <w:t>Gruntów i Budynków (</w:t>
            </w:r>
            <w:proofErr w:type="spellStart"/>
            <w:r w:rsidRPr="00EA1AA0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 w:rsidRPr="00EA1AA0">
              <w:rPr>
                <w:rFonts w:ascii="Arial" w:hAnsi="Arial" w:cs="Arial"/>
                <w:sz w:val="20"/>
                <w:szCs w:val="20"/>
              </w:rPr>
              <w:t>) - o ile są w nich gromadzone</w:t>
            </w:r>
            <w:r w:rsidR="00EA1AA0" w:rsidRPr="00EA1AA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A1AA0" w:rsidRPr="00EA1AA0">
              <w:rPr>
                <w:rFonts w:ascii="Arial" w:hAnsi="Arial" w:cs="Arial"/>
                <w:sz w:val="20"/>
                <w:szCs w:val="20"/>
              </w:rPr>
              <w:t xml:space="preserve">Z systemu </w:t>
            </w:r>
            <w:proofErr w:type="spellStart"/>
            <w:r w:rsidR="00EA1AA0" w:rsidRPr="00EA1AA0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 w:rsidR="00EA1AA0" w:rsidRPr="00EA1AA0">
              <w:rPr>
                <w:rFonts w:ascii="Arial" w:hAnsi="Arial" w:cs="Arial"/>
                <w:sz w:val="20"/>
                <w:szCs w:val="20"/>
              </w:rPr>
              <w:t xml:space="preserve"> wczytane będą podkłady mapowe</w:t>
            </w:r>
          </w:p>
          <w:p w14:paraId="47239999" w14:textId="7A81CBFE" w:rsidR="00AC1EA7" w:rsidRPr="00A646CD" w:rsidRDefault="00AC1EA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668B" w:rsidRPr="002B14F4" w14:paraId="1BE0E076" w14:textId="77777777" w:rsidTr="006E536F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lastRenderedPageBreak/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4F0D6159" w:rsidR="00E0668B" w:rsidRDefault="00565FB8" w:rsidP="00B723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 xml:space="preserve">Wdrożenie testowe 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-202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48EBB097" w:rsidR="00A646CD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4F5C64C7" w:rsidR="00A646CD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>: kontynuacja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 (m.in. przygotowanie projektów regulacji prawnych, które pozwolą na wdrożenie systemu ZONE w skali całego kraju, zbieranie i przetwarzanie danych zasilających ZONE, moduł raportowy w systemie ZONE, procedury zbierania i walidacji danych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 w:rsidR="00B723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267F0D" w14:textId="77777777" w:rsidR="00A646CD" w:rsidRDefault="00B723E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Realizowane</w:t>
            </w:r>
            <w:r w:rsidR="00C42C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620567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="00A646CD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e-usług,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z Węzłem krajowym jako jednym z systemów,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  <w:p w14:paraId="62ADDCAD" w14:textId="77777777" w:rsidR="00557798" w:rsidRDefault="00557798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2F7CB1D" w14:textId="77777777" w:rsidR="00557798" w:rsidRPr="00AC1EA7" w:rsidRDefault="00557798" w:rsidP="00557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BDOT 10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52AB">
              <w:rPr>
                <w:rFonts w:ascii="Arial" w:hAnsi="Arial" w:cs="Arial"/>
                <w:sz w:val="20"/>
                <w:szCs w:val="20"/>
              </w:rPr>
              <w:t xml:space="preserve">przekazywane dane z rejestru bazy danych obiektów topograficznych o szczegółowości zapewniającej tworzenie standardowych opracowań kartograficznych </w:t>
            </w:r>
            <w:r w:rsidRPr="003252AB">
              <w:rPr>
                <w:rFonts w:ascii="Arial" w:hAnsi="Arial" w:cs="Arial"/>
                <w:sz w:val="20"/>
                <w:szCs w:val="20"/>
              </w:rPr>
              <w:lastRenderedPageBreak/>
              <w:t>w skali 1:10000 (BDOT10k</w:t>
            </w:r>
            <w:r w:rsidRPr="00AC1EA7">
              <w:rPr>
                <w:rFonts w:cstheme="minorHAnsi"/>
                <w:sz w:val="20"/>
                <w:szCs w:val="20"/>
              </w:rPr>
              <w:t xml:space="preserve">). </w:t>
            </w:r>
            <w:r w:rsidRPr="00AC1EA7">
              <w:rPr>
                <w:rFonts w:ascii="Arial" w:hAnsi="Arial" w:cs="Arial"/>
                <w:sz w:val="20"/>
                <w:szCs w:val="20"/>
              </w:rPr>
              <w:t>System IT będzie eksportował informacje o budynkach, których zmiana została zidentyfikowana podczas inwentaryzacji i przeglądów kominiarskich</w:t>
            </w:r>
          </w:p>
          <w:p w14:paraId="3737F173" w14:textId="77777777" w:rsidR="00557798" w:rsidRDefault="00557798" w:rsidP="005577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36A16A" w14:textId="77777777" w:rsidR="00557798" w:rsidRPr="00EA1AA0" w:rsidRDefault="00557798" w:rsidP="00557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EA7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 </w:t>
            </w:r>
            <w:r w:rsidRPr="00AC1EA7">
              <w:rPr>
                <w:rFonts w:ascii="Arial" w:hAnsi="Arial" w:cs="Arial"/>
                <w:sz w:val="20"/>
                <w:szCs w:val="20"/>
              </w:rPr>
              <w:t>PRG przekazywane dane z  państwowego rejestru granic i powierzchni jednostek podziałów terytorialnego kraju (PRG</w:t>
            </w:r>
            <w:r w:rsidRPr="00211C2E">
              <w:t xml:space="preserve">), </w:t>
            </w:r>
            <w:r w:rsidRPr="00EA1AA0">
              <w:rPr>
                <w:rFonts w:ascii="Arial" w:hAnsi="Arial" w:cs="Arial"/>
                <w:sz w:val="20"/>
                <w:szCs w:val="20"/>
              </w:rPr>
              <w:t>System IT będzie eksportował informacje o punktach adresowych, których zmiana została zidentyfikowana podczas inwentaryzacji i przeglądów kominiarskich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A1AA0">
              <w:rPr>
                <w:rFonts w:ascii="Arial" w:hAnsi="Arial" w:cs="Arial"/>
                <w:sz w:val="20"/>
                <w:szCs w:val="20"/>
              </w:rPr>
              <w:t>Z systemu PRG pozyskane będą granice, podziały terytorialne i punkty adresowe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DB5B23" w14:textId="77777777" w:rsidR="00557798" w:rsidRDefault="00557798" w:rsidP="005577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44442D5" w14:textId="77777777" w:rsidR="00557798" w:rsidRPr="00EA1AA0" w:rsidRDefault="00557798" w:rsidP="00557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EA7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 </w:t>
            </w:r>
            <w:r w:rsidRPr="00AC1EA7">
              <w:rPr>
                <w:rFonts w:ascii="Arial" w:hAnsi="Arial" w:cs="Arial"/>
                <w:sz w:val="20"/>
                <w:szCs w:val="20"/>
              </w:rPr>
              <w:t>Centralny rejestr charakterystyki energetycznej budynków system będzie dostosowany do wymiany danych ze wszystkich innych rejestrów, z którymi będzie się integrował centralnego rejestru charakterystyki energetycznej budynków (CRCEB)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11C2E">
              <w:t xml:space="preserve"> </w:t>
            </w:r>
            <w:r w:rsidRPr="00EA1AA0">
              <w:rPr>
                <w:rFonts w:ascii="Arial" w:hAnsi="Arial" w:cs="Arial"/>
                <w:sz w:val="20"/>
                <w:szCs w:val="20"/>
              </w:rPr>
              <w:t>Z CRCEB wczytywane będą informacje o dwóch grupach odbiorców, tj. dane o audytorach energetycznych i o osobach uprawnionych do sporządzania świadectw charakterystyki energetycznej budynków; oraz dane ze świadectw charakterystyki energetycznej budynków</w:t>
            </w:r>
          </w:p>
          <w:p w14:paraId="19C49530" w14:textId="77777777" w:rsidR="00557798" w:rsidRDefault="00557798" w:rsidP="005577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9C0192" w14:textId="77777777" w:rsidR="00557798" w:rsidRPr="00A646CD" w:rsidRDefault="00557798" w:rsidP="00557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Realizowane.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EGIB</w:t>
            </w:r>
          </w:p>
          <w:p w14:paraId="6CF4FB2E" w14:textId="77777777" w:rsidR="00557798" w:rsidRPr="00AC1EA7" w:rsidRDefault="00557798" w:rsidP="005577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1EA7">
              <w:rPr>
                <w:rFonts w:ascii="Arial" w:hAnsi="Arial" w:cs="Arial"/>
                <w:sz w:val="20"/>
                <w:szCs w:val="20"/>
              </w:rPr>
              <w:t xml:space="preserve">System będzie dostosowany do wymiany danych z centralnego rejestru osób posiadających uprawnienia budowlane oraz z centralnego rejestru ukaranych z tytułu odpowiedzialności zawodowej, Ewidencji </w:t>
            </w:r>
            <w:r w:rsidRPr="00EA1AA0">
              <w:rPr>
                <w:rFonts w:ascii="Arial" w:hAnsi="Arial" w:cs="Arial"/>
                <w:sz w:val="20"/>
                <w:szCs w:val="20"/>
              </w:rPr>
              <w:t>Gruntów i Budynków (</w:t>
            </w:r>
            <w:proofErr w:type="spellStart"/>
            <w:r w:rsidRPr="00EA1AA0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 w:rsidRPr="00EA1AA0">
              <w:rPr>
                <w:rFonts w:ascii="Arial" w:hAnsi="Arial" w:cs="Arial"/>
                <w:sz w:val="20"/>
                <w:szCs w:val="20"/>
              </w:rPr>
              <w:t xml:space="preserve">) - o ile są w nich gromadzone. Z systemu </w:t>
            </w:r>
            <w:proofErr w:type="spellStart"/>
            <w:r w:rsidRPr="00EA1AA0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 w:rsidRPr="00EA1AA0">
              <w:rPr>
                <w:rFonts w:ascii="Arial" w:hAnsi="Arial" w:cs="Arial"/>
                <w:sz w:val="20"/>
                <w:szCs w:val="20"/>
              </w:rPr>
              <w:t xml:space="preserve"> wczytane będą podkłady mapowe</w:t>
            </w:r>
          </w:p>
          <w:p w14:paraId="51649CD1" w14:textId="2CE4DAE2" w:rsidR="00557798" w:rsidRPr="002B14F4" w:rsidRDefault="00557798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3" w:name="_GoBack"/>
            <w:bookmarkEnd w:id="3"/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02DD88E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0FD7EA4C" w:rsidR="00F86FC2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B723E7"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Właściwe określenie potrzeb i</w:t>
            </w:r>
            <w:r w:rsidR="00B723E7">
              <w:rPr>
                <w:rFonts w:ascii="Arial" w:hAnsi="Arial" w:cs="Arial"/>
              </w:rPr>
              <w:t> </w:t>
            </w:r>
            <w:r w:rsidR="00F86FC2" w:rsidRPr="002B14F4">
              <w:rPr>
                <w:rFonts w:ascii="Arial" w:hAnsi="Arial" w:cs="Arial"/>
              </w:rPr>
              <w:t>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</w:t>
            </w:r>
            <w:r w:rsidR="00F86FC2" w:rsidRPr="002B14F4">
              <w:rPr>
                <w:rFonts w:ascii="Arial" w:hAnsi="Arial" w:cs="Arial"/>
              </w:rPr>
              <w:lastRenderedPageBreak/>
              <w:t>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2D5A0EA1" w:rsidR="00D36659" w:rsidRPr="00FE25D8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zgodnie z</w:t>
            </w:r>
            <w:r w:rsidR="00B723E7">
              <w:rPr>
                <w:rFonts w:ascii="Arial" w:hAnsi="Arial" w:cs="Arial"/>
              </w:rPr>
              <w:t> </w:t>
            </w:r>
            <w:r w:rsidRPr="00FE25D8">
              <w:rPr>
                <w:rFonts w:ascii="Arial" w:hAnsi="Arial" w:cs="Arial"/>
              </w:rPr>
              <w:t>harmonogramem rzeczowo-finansowym Projektu oraz zawieranie umów z wykonawcami, którzy zaproponują najkorzystniejsze warunki realizacji zamówienia.</w:t>
            </w:r>
          </w:p>
          <w:p w14:paraId="1DE08DDF" w14:textId="66EC8A28" w:rsidR="00D36659" w:rsidRP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002ADE3B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zrost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2F003BD" w:rsidR="00F86FC2" w:rsidRDefault="00D36659" w:rsidP="00B723E7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5CCC4AFE" w:rsid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</w:t>
            </w:r>
            <w:r w:rsidR="00B723E7">
              <w:rPr>
                <w:rFonts w:ascii="Arial" w:hAnsi="Arial" w:cs="Arial"/>
              </w:rPr>
              <w:t> </w:t>
            </w:r>
            <w:r w:rsidRPr="00D36659">
              <w:rPr>
                <w:rFonts w:ascii="Arial" w:hAnsi="Arial" w:cs="Arial"/>
              </w:rPr>
              <w:t xml:space="preserve">harmonogramem </w:t>
            </w:r>
            <w:r>
              <w:rPr>
                <w:rFonts w:ascii="Arial" w:hAnsi="Arial" w:cs="Arial"/>
              </w:rPr>
              <w:t>rzeczowo-finansowym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0D20E14E" w:rsidR="00D36659" w:rsidRPr="00367AA3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5A859B9F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6457F4A3" w:rsidR="00F86FC2" w:rsidRPr="00FE25D8" w:rsidRDefault="000F58DD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93EBB2C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jektu z wykonawcą, który zaproponuje najkorzystniejsze warunki realizacji zamówienia.</w:t>
            </w:r>
          </w:p>
          <w:p w14:paraId="18D8DA1F" w14:textId="6493D8C0" w:rsidR="00F86FC2" w:rsidRPr="00FE25D8" w:rsidRDefault="006726A6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688620C9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iedostarczeni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696D2037" w:rsidR="00D36659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B723E7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7F552117" w:rsidR="00D64F57" w:rsidRPr="0057273E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0D3079E2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luktuacj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EFC4956" w14:textId="7073E4C8" w:rsidR="00D64F57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78C14806" w:rsidR="00D64F57" w:rsidRPr="00D64F57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4AC107D8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rak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09375E21" w:rsidR="00F86FC2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5F98DE6E" w:rsidR="00BC6841" w:rsidRPr="003B7EEF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budżecie Ministerstwa Rozwoju, Pracy i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zmianie ustawy o wspieraniu termomodernizacji i remontów oraz niektórych innych ustaw (Dz.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U. z 2020 r. poz. 2127).</w:t>
            </w:r>
          </w:p>
          <w:p w14:paraId="3109D569" w14:textId="79E89108" w:rsidR="00BC6841" w:rsidRPr="00FE25D8" w:rsidRDefault="00BC6841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5865175" w:rsidR="00F86FC2" w:rsidRDefault="00BC6841" w:rsidP="00B723E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6090C8C6" w:rsidR="00BC6841" w:rsidRPr="00470751" w:rsidRDefault="00BC6841" w:rsidP="00B723E7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przyszłymi użytkownikami, ciągłe monitorowanie postępu prac zgodnie z przyjętą metodyką, skuteczne i zgodne z harmonogramem projektu przeprowadzenie wszystkich działań związanych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osiągnięciem zamierzonych celów.</w:t>
            </w:r>
          </w:p>
          <w:p w14:paraId="148C337F" w14:textId="7C97E723" w:rsidR="00BC6841" w:rsidRPr="00FE25D8" w:rsidRDefault="00BC6841" w:rsidP="00B723E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653D0E3" w:rsidR="00F86FC2" w:rsidRDefault="00BC6841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</w:t>
            </w:r>
            <w:r w:rsidR="00FF7920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umowie, zatwierdzonych notatkach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FF7920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168181AB" w14:textId="295FE84D" w:rsidR="00BC6841" w:rsidRPr="00FE25D8" w:rsidRDefault="00BC6841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59728C2E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iespełnieni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wymagań projektowych wynikające ze zmian w systemie/systemach zintegrowanych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ami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30920E4" w:rsidR="00F86FC2" w:rsidRPr="00786D89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lastRenderedPageBreak/>
              <w:t>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umowach z Wykonawcami zobowiązania o wprowadzeniu zmian (zgodnie z procedurą zarządzania zmianą) wynikającej z nowych wymogów prawnych.</w:t>
            </w:r>
          </w:p>
          <w:p w14:paraId="46A79152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FED5DA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6174E20D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0EFB5F41" w:rsidR="00786D89" w:rsidRPr="0057273E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2C074C27" w:rsidR="00F86FC2" w:rsidRPr="002B14F4" w:rsidRDefault="00470794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ieprawidłow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migracj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26A2F903" w:rsidR="00F86FC2" w:rsidRPr="002B14F4" w:rsidRDefault="00786D89" w:rsidP="00FF7920">
            <w:pPr>
              <w:pStyle w:val="Legenda"/>
              <w:spacing w:line="25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lastRenderedPageBreak/>
              <w:t>bezpieczeństwa danych oraz wydajności systemu.</w:t>
            </w:r>
          </w:p>
          <w:p w14:paraId="10FF7E28" w14:textId="7F2E1456" w:rsidR="00786D89" w:rsidRPr="00FE25D8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47EE311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6A180525" w:rsidR="00F86FC2" w:rsidRPr="003B7EEF" w:rsidRDefault="00786D89" w:rsidP="00FF7920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wszystkich etapach Projektu.</w:t>
            </w:r>
          </w:p>
          <w:p w14:paraId="37305A3C" w14:textId="09F4EFBC" w:rsidR="00786D89" w:rsidRPr="003B7EEF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rowadzenie akcji promocyjnej Projektu – dla interesariuszy </w:t>
            </w:r>
            <w:r w:rsidR="00FF79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e-usług o możliwościach, jakie udostępnione są przez wdrożony system IT.</w:t>
            </w:r>
          </w:p>
          <w:p w14:paraId="26031B9D" w14:textId="78EBF986" w:rsidR="00786D89" w:rsidRPr="00367AA3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0D151655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1B6493D3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rak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2657D247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Zaplanowanie środków na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systemu w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budżecie Ministerstwa Rozwoju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2020 r. o zmianie ustawy 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wspieraniu termomodernizacji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remontów oraz niektórych innych ustaw (Dz.U.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0A670C1F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122AAF22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3DA1E94B" w14:textId="7FF7C1A2" w:rsidR="00085545" w:rsidRPr="0085671C" w:rsidRDefault="006F27BB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Raport z wymiarowania – przekazany wraz z raportem za III kw</w:t>
      </w:r>
      <w:r w:rsidR="00FF7920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2022 r.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2D1B69B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="0009116B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Adam Perz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4D52F968" w14:textId="01FC958E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 xml:space="preserve">+48 </w:t>
        </w:r>
        <w:r w:rsidR="0009116B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607</w:t>
        </w:r>
      </w:hyperlink>
      <w:r w:rsidR="0009116B">
        <w:rPr>
          <w:rStyle w:val="Hipercze"/>
          <w:rFonts w:ascii="Arial" w:hAnsi="Arial" w:cs="Arial"/>
          <w:color w:val="auto"/>
          <w:sz w:val="20"/>
          <w:szCs w:val="20"/>
          <w:bdr w:val="none" w:sz="0" w:space="0" w:color="auto" w:frame="1"/>
        </w:rPr>
        <w:t> 388 796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5A6D3B8D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3" w:history="1">
        <w:r w:rsidR="0009116B" w:rsidRPr="00CB2366">
          <w:rPr>
            <w:rStyle w:val="Hipercze"/>
            <w:rFonts w:ascii="Arial" w:hAnsi="Arial" w:cs="Arial"/>
            <w:sz w:val="20"/>
            <w:szCs w:val="20"/>
            <w:bdr w:val="none" w:sz="0" w:space="0" w:color="auto" w:frame="1"/>
          </w:rPr>
          <w:t>a.perz@gunb.gov.pl</w:t>
        </w:r>
      </w:hyperlink>
    </w:p>
    <w:p w14:paraId="5ACC80B6" w14:textId="0AC91B1E" w:rsidR="00A92887" w:rsidRPr="0085671C" w:rsidRDefault="00F71300" w:rsidP="004B403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4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sectPr w:rsidR="00A92887" w:rsidRPr="0085671C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842D2" w14:textId="77777777" w:rsidR="00F71300" w:rsidRDefault="00F71300" w:rsidP="00BB2420">
      <w:pPr>
        <w:spacing w:after="0" w:line="240" w:lineRule="auto"/>
      </w:pPr>
      <w:r>
        <w:separator/>
      </w:r>
    </w:p>
  </w:endnote>
  <w:endnote w:type="continuationSeparator" w:id="0">
    <w:p w14:paraId="70387791" w14:textId="77777777" w:rsidR="00F71300" w:rsidRDefault="00F7130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011E3C" w:rsidRDefault="00011E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13</w:t>
            </w:r>
          </w:p>
        </w:sdtContent>
      </w:sdt>
    </w:sdtContent>
  </w:sdt>
  <w:p w14:paraId="402AEB21" w14:textId="77777777" w:rsidR="00011E3C" w:rsidRDefault="00011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6BC46" w14:textId="77777777" w:rsidR="00F71300" w:rsidRDefault="00F71300" w:rsidP="00BB2420">
      <w:pPr>
        <w:spacing w:after="0" w:line="240" w:lineRule="auto"/>
      </w:pPr>
      <w:r>
        <w:separator/>
      </w:r>
    </w:p>
  </w:footnote>
  <w:footnote w:type="continuationSeparator" w:id="0">
    <w:p w14:paraId="55607DAF" w14:textId="77777777" w:rsidR="00F71300" w:rsidRDefault="00F7130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11E3C" w:rsidRDefault="00011E3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5443"/>
    <w:multiLevelType w:val="hybridMultilevel"/>
    <w:tmpl w:val="098A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30B9E"/>
    <w:multiLevelType w:val="hybridMultilevel"/>
    <w:tmpl w:val="23E0D580"/>
    <w:lvl w:ilvl="0" w:tplc="2C24DF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3"/>
  </w:num>
  <w:num w:numId="3">
    <w:abstractNumId w:val="32"/>
  </w:num>
  <w:num w:numId="4">
    <w:abstractNumId w:val="19"/>
  </w:num>
  <w:num w:numId="5">
    <w:abstractNumId w:val="28"/>
  </w:num>
  <w:num w:numId="6">
    <w:abstractNumId w:val="7"/>
  </w:num>
  <w:num w:numId="7">
    <w:abstractNumId w:val="25"/>
  </w:num>
  <w:num w:numId="8">
    <w:abstractNumId w:val="1"/>
  </w:num>
  <w:num w:numId="9">
    <w:abstractNumId w:val="13"/>
  </w:num>
  <w:num w:numId="10">
    <w:abstractNumId w:val="10"/>
  </w:num>
  <w:num w:numId="11">
    <w:abstractNumId w:val="12"/>
  </w:num>
  <w:num w:numId="12">
    <w:abstractNumId w:val="26"/>
  </w:num>
  <w:num w:numId="13">
    <w:abstractNumId w:val="24"/>
  </w:num>
  <w:num w:numId="14">
    <w:abstractNumId w:val="2"/>
  </w:num>
  <w:num w:numId="15">
    <w:abstractNumId w:val="29"/>
  </w:num>
  <w:num w:numId="16">
    <w:abstractNumId w:val="16"/>
  </w:num>
  <w:num w:numId="17">
    <w:abstractNumId w:val="22"/>
  </w:num>
  <w:num w:numId="18">
    <w:abstractNumId w:val="20"/>
  </w:num>
  <w:num w:numId="19">
    <w:abstractNumId w:val="17"/>
  </w:num>
  <w:num w:numId="20">
    <w:abstractNumId w:val="31"/>
  </w:num>
  <w:num w:numId="21">
    <w:abstractNumId w:val="0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15"/>
  </w:num>
  <w:num w:numId="27">
    <w:abstractNumId w:val="21"/>
  </w:num>
  <w:num w:numId="28">
    <w:abstractNumId w:val="4"/>
  </w:num>
  <w:num w:numId="29">
    <w:abstractNumId w:val="27"/>
  </w:num>
  <w:num w:numId="30">
    <w:abstractNumId w:val="14"/>
  </w:num>
  <w:num w:numId="31">
    <w:abstractNumId w:val="11"/>
  </w:num>
  <w:num w:numId="32">
    <w:abstractNumId w:val="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833"/>
    <w:rsid w:val="00006E59"/>
    <w:rsid w:val="0000760E"/>
    <w:rsid w:val="00011E3C"/>
    <w:rsid w:val="000210B5"/>
    <w:rsid w:val="00027539"/>
    <w:rsid w:val="0002754A"/>
    <w:rsid w:val="00030417"/>
    <w:rsid w:val="000430B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F1"/>
    <w:rsid w:val="00087231"/>
    <w:rsid w:val="0009116B"/>
    <w:rsid w:val="00095944"/>
    <w:rsid w:val="000A1DFB"/>
    <w:rsid w:val="000A2F32"/>
    <w:rsid w:val="000A3938"/>
    <w:rsid w:val="000B059E"/>
    <w:rsid w:val="000B2DB9"/>
    <w:rsid w:val="000B3E49"/>
    <w:rsid w:val="000D2071"/>
    <w:rsid w:val="000E0060"/>
    <w:rsid w:val="000E1828"/>
    <w:rsid w:val="000E4BF8"/>
    <w:rsid w:val="000F20A9"/>
    <w:rsid w:val="000F307B"/>
    <w:rsid w:val="000F30B9"/>
    <w:rsid w:val="000F58DD"/>
    <w:rsid w:val="000F7242"/>
    <w:rsid w:val="0010157B"/>
    <w:rsid w:val="00104505"/>
    <w:rsid w:val="00113635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4C5"/>
    <w:rsid w:val="00145E84"/>
    <w:rsid w:val="0015102C"/>
    <w:rsid w:val="00153381"/>
    <w:rsid w:val="001654CA"/>
    <w:rsid w:val="00176FBB"/>
    <w:rsid w:val="00181E97"/>
    <w:rsid w:val="00182A08"/>
    <w:rsid w:val="00182D03"/>
    <w:rsid w:val="001943EE"/>
    <w:rsid w:val="00196C6E"/>
    <w:rsid w:val="001A09DD"/>
    <w:rsid w:val="001A2EF2"/>
    <w:rsid w:val="001B7342"/>
    <w:rsid w:val="001C2D74"/>
    <w:rsid w:val="001C7FAC"/>
    <w:rsid w:val="001D0FD8"/>
    <w:rsid w:val="001D167C"/>
    <w:rsid w:val="001D1942"/>
    <w:rsid w:val="001D2AFD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16CE4"/>
    <w:rsid w:val="002275DF"/>
    <w:rsid w:val="00237279"/>
    <w:rsid w:val="00237F7A"/>
    <w:rsid w:val="00240D69"/>
    <w:rsid w:val="00241B5E"/>
    <w:rsid w:val="00246DCA"/>
    <w:rsid w:val="00252087"/>
    <w:rsid w:val="002540E6"/>
    <w:rsid w:val="00263392"/>
    <w:rsid w:val="00265194"/>
    <w:rsid w:val="0026655E"/>
    <w:rsid w:val="0027420B"/>
    <w:rsid w:val="00276C00"/>
    <w:rsid w:val="002825F1"/>
    <w:rsid w:val="00282FCF"/>
    <w:rsid w:val="00293351"/>
    <w:rsid w:val="00294349"/>
    <w:rsid w:val="002A3C02"/>
    <w:rsid w:val="002A5452"/>
    <w:rsid w:val="002A6F09"/>
    <w:rsid w:val="002B14F4"/>
    <w:rsid w:val="002B39B8"/>
    <w:rsid w:val="002B4889"/>
    <w:rsid w:val="002B50C0"/>
    <w:rsid w:val="002B5A73"/>
    <w:rsid w:val="002B6F21"/>
    <w:rsid w:val="002C13AE"/>
    <w:rsid w:val="002C3564"/>
    <w:rsid w:val="002C7B96"/>
    <w:rsid w:val="002D3D4A"/>
    <w:rsid w:val="002D5B0A"/>
    <w:rsid w:val="002D7ADA"/>
    <w:rsid w:val="002E2FAF"/>
    <w:rsid w:val="002F29A3"/>
    <w:rsid w:val="002F7CC2"/>
    <w:rsid w:val="0030196F"/>
    <w:rsid w:val="00302775"/>
    <w:rsid w:val="00304D04"/>
    <w:rsid w:val="00310D8E"/>
    <w:rsid w:val="00311045"/>
    <w:rsid w:val="003131E6"/>
    <w:rsid w:val="003221F2"/>
    <w:rsid w:val="00322614"/>
    <w:rsid w:val="003252AB"/>
    <w:rsid w:val="00334A24"/>
    <w:rsid w:val="0033659F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94967"/>
    <w:rsid w:val="003A4115"/>
    <w:rsid w:val="003A5F0B"/>
    <w:rsid w:val="003B5B7A"/>
    <w:rsid w:val="003B7EEF"/>
    <w:rsid w:val="003C7325"/>
    <w:rsid w:val="003D7DD0"/>
    <w:rsid w:val="003E02C1"/>
    <w:rsid w:val="003E1D05"/>
    <w:rsid w:val="003E3144"/>
    <w:rsid w:val="003F5F42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65209"/>
    <w:rsid w:val="00470751"/>
    <w:rsid w:val="00470794"/>
    <w:rsid w:val="00472732"/>
    <w:rsid w:val="004729D1"/>
    <w:rsid w:val="00473E51"/>
    <w:rsid w:val="004912DF"/>
    <w:rsid w:val="0049503E"/>
    <w:rsid w:val="004B403C"/>
    <w:rsid w:val="004C1D48"/>
    <w:rsid w:val="004D3C3D"/>
    <w:rsid w:val="004D65CA"/>
    <w:rsid w:val="004D7AA4"/>
    <w:rsid w:val="004F1B22"/>
    <w:rsid w:val="004F30BC"/>
    <w:rsid w:val="004F46C1"/>
    <w:rsid w:val="004F6E89"/>
    <w:rsid w:val="00501EF4"/>
    <w:rsid w:val="00504B06"/>
    <w:rsid w:val="005076A1"/>
    <w:rsid w:val="00513213"/>
    <w:rsid w:val="00515AEF"/>
    <w:rsid w:val="00517F12"/>
    <w:rsid w:val="0052102C"/>
    <w:rsid w:val="005212C8"/>
    <w:rsid w:val="00524E6C"/>
    <w:rsid w:val="005332D6"/>
    <w:rsid w:val="00535896"/>
    <w:rsid w:val="00541B24"/>
    <w:rsid w:val="00542A76"/>
    <w:rsid w:val="00544DFE"/>
    <w:rsid w:val="005548F2"/>
    <w:rsid w:val="00557798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96FDE"/>
    <w:rsid w:val="005A0E33"/>
    <w:rsid w:val="005A12F7"/>
    <w:rsid w:val="005A1B30"/>
    <w:rsid w:val="005A263E"/>
    <w:rsid w:val="005B1A32"/>
    <w:rsid w:val="005B7251"/>
    <w:rsid w:val="005C0469"/>
    <w:rsid w:val="005C6116"/>
    <w:rsid w:val="005C77BB"/>
    <w:rsid w:val="005D1139"/>
    <w:rsid w:val="005D17CF"/>
    <w:rsid w:val="005D24AF"/>
    <w:rsid w:val="005D5AAB"/>
    <w:rsid w:val="005D6E12"/>
    <w:rsid w:val="005E0ED8"/>
    <w:rsid w:val="005E31EE"/>
    <w:rsid w:val="005E6ABD"/>
    <w:rsid w:val="005F41FA"/>
    <w:rsid w:val="00600AE4"/>
    <w:rsid w:val="00602312"/>
    <w:rsid w:val="006054AA"/>
    <w:rsid w:val="00606151"/>
    <w:rsid w:val="0062054D"/>
    <w:rsid w:val="00620567"/>
    <w:rsid w:val="0062339C"/>
    <w:rsid w:val="006334BF"/>
    <w:rsid w:val="00635A54"/>
    <w:rsid w:val="00641922"/>
    <w:rsid w:val="00647B3C"/>
    <w:rsid w:val="00647FA8"/>
    <w:rsid w:val="00661A62"/>
    <w:rsid w:val="006726A6"/>
    <w:rsid w:val="006731D9"/>
    <w:rsid w:val="00673C1A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44C3"/>
    <w:rsid w:val="006C78AE"/>
    <w:rsid w:val="006D0FBE"/>
    <w:rsid w:val="006D135B"/>
    <w:rsid w:val="006E0CFA"/>
    <w:rsid w:val="006E536F"/>
    <w:rsid w:val="006E6205"/>
    <w:rsid w:val="006F27BB"/>
    <w:rsid w:val="006F53F7"/>
    <w:rsid w:val="00701800"/>
    <w:rsid w:val="0070713B"/>
    <w:rsid w:val="00724810"/>
    <w:rsid w:val="00725708"/>
    <w:rsid w:val="00735FB6"/>
    <w:rsid w:val="00740336"/>
    <w:rsid w:val="00740A47"/>
    <w:rsid w:val="0074328C"/>
    <w:rsid w:val="0074442C"/>
    <w:rsid w:val="00746ABD"/>
    <w:rsid w:val="0075678B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873DD"/>
    <w:rsid w:val="007924CE"/>
    <w:rsid w:val="00792835"/>
    <w:rsid w:val="00795AFA"/>
    <w:rsid w:val="007963A1"/>
    <w:rsid w:val="007A4742"/>
    <w:rsid w:val="007B0251"/>
    <w:rsid w:val="007B5194"/>
    <w:rsid w:val="007B68B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7F5A24"/>
    <w:rsid w:val="008033B3"/>
    <w:rsid w:val="00803FBE"/>
    <w:rsid w:val="008050FB"/>
    <w:rsid w:val="00805178"/>
    <w:rsid w:val="00806134"/>
    <w:rsid w:val="00814E22"/>
    <w:rsid w:val="008151AB"/>
    <w:rsid w:val="0081716B"/>
    <w:rsid w:val="008221FA"/>
    <w:rsid w:val="00830B70"/>
    <w:rsid w:val="00840749"/>
    <w:rsid w:val="00850DD1"/>
    <w:rsid w:val="0085645C"/>
    <w:rsid w:val="0085671C"/>
    <w:rsid w:val="00867573"/>
    <w:rsid w:val="00873E59"/>
    <w:rsid w:val="0087452F"/>
    <w:rsid w:val="00875528"/>
    <w:rsid w:val="00875615"/>
    <w:rsid w:val="00884686"/>
    <w:rsid w:val="0089088E"/>
    <w:rsid w:val="008921A0"/>
    <w:rsid w:val="00894B73"/>
    <w:rsid w:val="0089651B"/>
    <w:rsid w:val="008A332F"/>
    <w:rsid w:val="008A3936"/>
    <w:rsid w:val="008A5023"/>
    <w:rsid w:val="008A52F6"/>
    <w:rsid w:val="008C4BCD"/>
    <w:rsid w:val="008C6721"/>
    <w:rsid w:val="008C68DE"/>
    <w:rsid w:val="008D3826"/>
    <w:rsid w:val="008E1E5D"/>
    <w:rsid w:val="008E6A9A"/>
    <w:rsid w:val="008F1F8E"/>
    <w:rsid w:val="008F2D9B"/>
    <w:rsid w:val="008F67EE"/>
    <w:rsid w:val="00905C79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55046"/>
    <w:rsid w:val="0095748D"/>
    <w:rsid w:val="009663A6"/>
    <w:rsid w:val="00971152"/>
    <w:rsid w:val="00971A40"/>
    <w:rsid w:val="00976434"/>
    <w:rsid w:val="0098722F"/>
    <w:rsid w:val="00992EA3"/>
    <w:rsid w:val="009967CA"/>
    <w:rsid w:val="009A17FF"/>
    <w:rsid w:val="009B076B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43B7"/>
    <w:rsid w:val="00A24C0D"/>
    <w:rsid w:val="00A27CA6"/>
    <w:rsid w:val="00A304E4"/>
    <w:rsid w:val="00A30847"/>
    <w:rsid w:val="00A328B9"/>
    <w:rsid w:val="00A361BB"/>
    <w:rsid w:val="00A36AE2"/>
    <w:rsid w:val="00A4061D"/>
    <w:rsid w:val="00A43E49"/>
    <w:rsid w:val="00A44EA2"/>
    <w:rsid w:val="00A539B4"/>
    <w:rsid w:val="00A54816"/>
    <w:rsid w:val="00A55DA5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459"/>
    <w:rsid w:val="00AB2E01"/>
    <w:rsid w:val="00AB4F91"/>
    <w:rsid w:val="00AC1EA7"/>
    <w:rsid w:val="00AC7E26"/>
    <w:rsid w:val="00AD3E81"/>
    <w:rsid w:val="00AD45BB"/>
    <w:rsid w:val="00AD76BC"/>
    <w:rsid w:val="00AE0170"/>
    <w:rsid w:val="00AE1643"/>
    <w:rsid w:val="00AE3A6C"/>
    <w:rsid w:val="00AF09B8"/>
    <w:rsid w:val="00AF19B0"/>
    <w:rsid w:val="00AF567D"/>
    <w:rsid w:val="00B01893"/>
    <w:rsid w:val="00B17709"/>
    <w:rsid w:val="00B21B86"/>
    <w:rsid w:val="00B23828"/>
    <w:rsid w:val="00B26DF2"/>
    <w:rsid w:val="00B27EE9"/>
    <w:rsid w:val="00B4136A"/>
    <w:rsid w:val="00B41415"/>
    <w:rsid w:val="00B440C3"/>
    <w:rsid w:val="00B46B7D"/>
    <w:rsid w:val="00B50560"/>
    <w:rsid w:val="00B5532F"/>
    <w:rsid w:val="00B64B3C"/>
    <w:rsid w:val="00B673C6"/>
    <w:rsid w:val="00B723E7"/>
    <w:rsid w:val="00B74859"/>
    <w:rsid w:val="00B816D9"/>
    <w:rsid w:val="00B87D3D"/>
    <w:rsid w:val="00B91243"/>
    <w:rsid w:val="00B95747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07C6D"/>
    <w:rsid w:val="00C1106C"/>
    <w:rsid w:val="00C16887"/>
    <w:rsid w:val="00C16C3E"/>
    <w:rsid w:val="00C21FAD"/>
    <w:rsid w:val="00C26361"/>
    <w:rsid w:val="00C302F1"/>
    <w:rsid w:val="00C34E06"/>
    <w:rsid w:val="00C3575F"/>
    <w:rsid w:val="00C40488"/>
    <w:rsid w:val="00C42AEA"/>
    <w:rsid w:val="00C42C41"/>
    <w:rsid w:val="00C523E3"/>
    <w:rsid w:val="00C54EA8"/>
    <w:rsid w:val="00C57985"/>
    <w:rsid w:val="00C62DD7"/>
    <w:rsid w:val="00C6657F"/>
    <w:rsid w:val="00C6751B"/>
    <w:rsid w:val="00C7054C"/>
    <w:rsid w:val="00C726E1"/>
    <w:rsid w:val="00C75224"/>
    <w:rsid w:val="00C81735"/>
    <w:rsid w:val="00C83AE0"/>
    <w:rsid w:val="00C87FCC"/>
    <w:rsid w:val="00CA365A"/>
    <w:rsid w:val="00CA516B"/>
    <w:rsid w:val="00CA6EE6"/>
    <w:rsid w:val="00CB1793"/>
    <w:rsid w:val="00CC7E21"/>
    <w:rsid w:val="00CD381D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0D0A"/>
    <w:rsid w:val="00D64F57"/>
    <w:rsid w:val="00D713F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C6216"/>
    <w:rsid w:val="00DD1F2C"/>
    <w:rsid w:val="00DE40A9"/>
    <w:rsid w:val="00DE4B72"/>
    <w:rsid w:val="00DE6249"/>
    <w:rsid w:val="00DE731D"/>
    <w:rsid w:val="00DF0F43"/>
    <w:rsid w:val="00E0076D"/>
    <w:rsid w:val="00E0668B"/>
    <w:rsid w:val="00E107EB"/>
    <w:rsid w:val="00E11B44"/>
    <w:rsid w:val="00E12C54"/>
    <w:rsid w:val="00E15DEB"/>
    <w:rsid w:val="00E1688D"/>
    <w:rsid w:val="00E17541"/>
    <w:rsid w:val="00E17F75"/>
    <w:rsid w:val="00E203EB"/>
    <w:rsid w:val="00E33551"/>
    <w:rsid w:val="00E35401"/>
    <w:rsid w:val="00E375DB"/>
    <w:rsid w:val="00E42938"/>
    <w:rsid w:val="00E47508"/>
    <w:rsid w:val="00E55EB0"/>
    <w:rsid w:val="00E56DFA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A1AA0"/>
    <w:rsid w:val="00EB00AB"/>
    <w:rsid w:val="00EB18D1"/>
    <w:rsid w:val="00EB66E9"/>
    <w:rsid w:val="00EC2AFC"/>
    <w:rsid w:val="00ED1720"/>
    <w:rsid w:val="00ED47FE"/>
    <w:rsid w:val="00ED4B37"/>
    <w:rsid w:val="00EE4B70"/>
    <w:rsid w:val="00EF4204"/>
    <w:rsid w:val="00EF48D6"/>
    <w:rsid w:val="00EF55D3"/>
    <w:rsid w:val="00EF58E9"/>
    <w:rsid w:val="00F138F7"/>
    <w:rsid w:val="00F140E1"/>
    <w:rsid w:val="00F2008A"/>
    <w:rsid w:val="00F21D9E"/>
    <w:rsid w:val="00F237AB"/>
    <w:rsid w:val="00F25348"/>
    <w:rsid w:val="00F45506"/>
    <w:rsid w:val="00F45F3C"/>
    <w:rsid w:val="00F47020"/>
    <w:rsid w:val="00F60062"/>
    <w:rsid w:val="00F613CC"/>
    <w:rsid w:val="00F71300"/>
    <w:rsid w:val="00F74ECD"/>
    <w:rsid w:val="00F76777"/>
    <w:rsid w:val="00F77288"/>
    <w:rsid w:val="00F83F2F"/>
    <w:rsid w:val="00F86555"/>
    <w:rsid w:val="00F86C58"/>
    <w:rsid w:val="00F86FC2"/>
    <w:rsid w:val="00FA00B3"/>
    <w:rsid w:val="00FB4D68"/>
    <w:rsid w:val="00FB4E64"/>
    <w:rsid w:val="00FC175E"/>
    <w:rsid w:val="00FC30C7"/>
    <w:rsid w:val="00FC3B03"/>
    <w:rsid w:val="00FC63EC"/>
    <w:rsid w:val="00FE25D8"/>
    <w:rsid w:val="00FE4A3B"/>
    <w:rsid w:val="00FF03A2"/>
    <w:rsid w:val="00FF22C4"/>
    <w:rsid w:val="00FF3913"/>
    <w:rsid w:val="00FF423D"/>
    <w:rsid w:val="00FF6494"/>
    <w:rsid w:val="00FF6C85"/>
    <w:rsid w:val="00FF7920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02C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qFormat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1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.perz@gunb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48%20790%20388%2029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unb.ezamawiajacy.pl/pn/gunb/demand/notice/public/39134/details?folder=0002&amp;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-ceeb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0" ma:contentTypeDescription="Create a new document." ma:contentTypeScope="" ma:versionID="97a0a6bd9277f489f18e4b9f5053d585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1820a95b72ada8a23f5ac1fdd4f57d21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C12A-21A8-4B48-9A85-1EF2C09F5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6DD77E-52A0-46D7-B236-C3FCE3BE08FE}">
  <ds:schemaRefs>
    <ds:schemaRef ds:uri="http://schemas.microsoft.com/office/2006/metadata/properties"/>
    <ds:schemaRef ds:uri="http://schemas.microsoft.com/office/infopath/2007/PartnerControls"/>
    <ds:schemaRef ds:uri="9ad455f4-1511-4a0e-94c0-7ed29ab8ad06"/>
  </ds:schemaRefs>
</ds:datastoreItem>
</file>

<file path=customXml/itemProps3.xml><?xml version="1.0" encoding="utf-8"?>
<ds:datastoreItem xmlns:ds="http://schemas.openxmlformats.org/officeDocument/2006/customXml" ds:itemID="{DF534F75-5454-4A62-AFFD-8273462CD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6DEBF-97D1-4B66-A012-8EB450C7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3755</Words>
  <Characters>22531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2023-07-12T20:16:00Z</dcterms:created>
  <dcterms:modified xsi:type="dcterms:W3CDTF">2023-07-12T20:35:00Z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0x010100AAEB9A957C0E344E9659BEE67C1882CB</vt:lpwstr>
  </property>
</Properties>
</file>